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348" w:rsidRPr="00DC52D4" w:rsidRDefault="00927215" w:rsidP="00DC5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DC52D4">
        <w:rPr>
          <w:b/>
          <w:sz w:val="28"/>
          <w:szCs w:val="28"/>
        </w:rPr>
        <w:t>SUPPLEMENTARY MATERIALS</w:t>
      </w:r>
    </w:p>
    <w:p w:rsidR="00032CD2" w:rsidRDefault="00032CD2" w:rsidP="008E5E2B">
      <w:pPr>
        <w:jc w:val="center"/>
        <w:rPr>
          <w:b/>
          <w:sz w:val="28"/>
          <w:szCs w:val="28"/>
        </w:rPr>
      </w:pPr>
    </w:p>
    <w:p w:rsidR="00032CD2" w:rsidRDefault="00032CD2" w:rsidP="008E5E2B">
      <w:pPr>
        <w:jc w:val="center"/>
        <w:rPr>
          <w:b/>
          <w:sz w:val="28"/>
          <w:szCs w:val="28"/>
        </w:rPr>
      </w:pPr>
    </w:p>
    <w:p w:rsidR="008E5E2B" w:rsidRPr="00DC52D4" w:rsidRDefault="008E5E2B" w:rsidP="008E5E2B">
      <w:pPr>
        <w:jc w:val="center"/>
        <w:rPr>
          <w:b/>
          <w:sz w:val="28"/>
          <w:szCs w:val="28"/>
        </w:rPr>
      </w:pPr>
      <w:r w:rsidRPr="00DC52D4">
        <w:rPr>
          <w:b/>
          <w:sz w:val="28"/>
          <w:szCs w:val="28"/>
        </w:rPr>
        <w:t>Jenkins, C.J.</w:t>
      </w:r>
      <w:r w:rsidR="00E12967">
        <w:rPr>
          <w:b/>
          <w:sz w:val="28"/>
          <w:szCs w:val="28"/>
        </w:rPr>
        <w:t xml:space="preserve"> 2018.</w:t>
      </w:r>
      <w:r w:rsidRPr="00DC52D4">
        <w:rPr>
          <w:b/>
          <w:sz w:val="28"/>
          <w:szCs w:val="28"/>
        </w:rPr>
        <w:t xml:space="preserve"> “Sediment Accumulation Rates for the Mississippi Delta Region: A Time-Interval Synthesis”</w:t>
      </w:r>
    </w:p>
    <w:p w:rsidR="00E12967" w:rsidRDefault="00E12967" w:rsidP="00311D5F">
      <w:pPr>
        <w:rPr>
          <w:rFonts w:cstheme="minorHAnsi"/>
          <w:b/>
          <w:color w:val="000000" w:themeColor="text1"/>
          <w:sz w:val="24"/>
          <w:szCs w:val="24"/>
        </w:rPr>
      </w:pPr>
    </w:p>
    <w:p w:rsidR="00311D5F" w:rsidRDefault="00311D5F" w:rsidP="00311D5F">
      <w:pPr>
        <w:rPr>
          <w:rFonts w:cstheme="minorHAnsi"/>
          <w:b/>
          <w:color w:val="000000" w:themeColor="text1"/>
          <w:sz w:val="24"/>
          <w:szCs w:val="24"/>
        </w:rPr>
      </w:pPr>
    </w:p>
    <w:p w:rsidR="00311D5F" w:rsidRDefault="00311D5F" w:rsidP="00311D5F">
      <w:pPr>
        <w:rPr>
          <w:rFonts w:cstheme="minorHAnsi"/>
          <w:b/>
          <w:color w:val="000000" w:themeColor="text1"/>
          <w:sz w:val="24"/>
          <w:szCs w:val="24"/>
        </w:rPr>
      </w:pPr>
    </w:p>
    <w:p w:rsidR="00311D5F" w:rsidRDefault="00311D5F" w:rsidP="00311D5F">
      <w:pPr>
        <w:rPr>
          <w:rFonts w:cstheme="minorHAnsi"/>
          <w:b/>
          <w:color w:val="000000" w:themeColor="text1"/>
          <w:sz w:val="24"/>
          <w:szCs w:val="24"/>
        </w:rPr>
      </w:pPr>
    </w:p>
    <w:p w:rsidR="00311D5F" w:rsidRDefault="00311D5F" w:rsidP="00311D5F">
      <w:pPr>
        <w:rPr>
          <w:rFonts w:cstheme="minorHAnsi"/>
          <w:b/>
          <w:color w:val="000000" w:themeColor="text1"/>
          <w:sz w:val="24"/>
          <w:szCs w:val="24"/>
        </w:rPr>
      </w:pPr>
    </w:p>
    <w:p w:rsidR="00311D5F" w:rsidRDefault="00311D5F" w:rsidP="00311D5F">
      <w:pPr>
        <w:rPr>
          <w:rFonts w:cstheme="minorHAnsi"/>
          <w:b/>
          <w:color w:val="000000" w:themeColor="text1"/>
          <w:sz w:val="24"/>
          <w:szCs w:val="24"/>
        </w:rPr>
      </w:pPr>
    </w:p>
    <w:p w:rsidR="00311D5F" w:rsidRDefault="00311D5F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 w:type="page"/>
      </w:r>
    </w:p>
    <w:p w:rsidR="00E12967" w:rsidRPr="00A35A76" w:rsidRDefault="008E5E2B" w:rsidP="00311D5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A35A76">
        <w:rPr>
          <w:rFonts w:cstheme="minorHAnsi"/>
          <w:color w:val="000000" w:themeColor="text1"/>
          <w:sz w:val="24"/>
          <w:szCs w:val="24"/>
        </w:rPr>
        <w:lastRenderedPageBreak/>
        <w:t xml:space="preserve">Figure S1. </w:t>
      </w:r>
      <w:r w:rsidR="00E12967" w:rsidRPr="00A35A76">
        <w:rPr>
          <w:rFonts w:cstheme="minorHAnsi"/>
          <w:color w:val="000000" w:themeColor="text1"/>
          <w:sz w:val="24"/>
          <w:szCs w:val="24"/>
        </w:rPr>
        <w:t>Plot of the Sadler Effect coefficients Intercept and Slope for various divisions of the data, illustrating the scope of their variability. The error bars show the 1</w:t>
      </w:r>
      <w:r w:rsidR="00E12967" w:rsidRPr="00A35A76">
        <w:rPr>
          <w:rFonts w:cstheme="minorHAnsi"/>
          <w:color w:val="000000" w:themeColor="text1"/>
          <w:sz w:val="24"/>
          <w:szCs w:val="24"/>
        </w:rPr>
        <w:sym w:font="Symbol" w:char="F073"/>
      </w:r>
      <w:r w:rsidR="00E12967" w:rsidRPr="00A35A76">
        <w:rPr>
          <w:rFonts w:cstheme="minorHAnsi"/>
          <w:color w:val="000000" w:themeColor="text1"/>
          <w:sz w:val="24"/>
          <w:szCs w:val="24"/>
        </w:rPr>
        <w:t xml:space="preserve"> level of Standard Deviation on each coefficient, calculated from the Standard Error of the regression on the log10 raw data values.</w:t>
      </w:r>
      <w:r w:rsidR="00311D5F">
        <w:rPr>
          <w:rFonts w:cstheme="minorHAnsi"/>
          <w:color w:val="000000" w:themeColor="text1"/>
          <w:sz w:val="24"/>
          <w:szCs w:val="24"/>
        </w:rPr>
        <w:t xml:space="preserve"> The divisions are denoted as follows: </w:t>
      </w:r>
      <w:proofErr w:type="spellStart"/>
      <w:r w:rsidR="00311D5F">
        <w:rPr>
          <w:rFonts w:cstheme="minorHAnsi"/>
          <w:color w:val="000000" w:themeColor="text1"/>
          <w:sz w:val="24"/>
          <w:szCs w:val="24"/>
        </w:rPr>
        <w:t>prodelta</w:t>
      </w:r>
      <w:proofErr w:type="spellEnd"/>
      <w:r w:rsidR="00311D5F">
        <w:rPr>
          <w:rFonts w:cstheme="minorHAnsi"/>
          <w:color w:val="000000" w:themeColor="text1"/>
          <w:sz w:val="24"/>
          <w:szCs w:val="24"/>
        </w:rPr>
        <w:t xml:space="preserve"> – </w:t>
      </w:r>
      <w:proofErr w:type="spellStart"/>
      <w:r w:rsidR="00311D5F">
        <w:rPr>
          <w:rFonts w:cstheme="minorHAnsi"/>
          <w:color w:val="000000" w:themeColor="text1"/>
          <w:sz w:val="24"/>
          <w:szCs w:val="24"/>
        </w:rPr>
        <w:t>prodelta</w:t>
      </w:r>
      <w:proofErr w:type="spellEnd"/>
      <w:r w:rsidR="00311D5F">
        <w:rPr>
          <w:rFonts w:cstheme="minorHAnsi"/>
          <w:color w:val="000000" w:themeColor="text1"/>
          <w:sz w:val="24"/>
          <w:szCs w:val="24"/>
        </w:rPr>
        <w:t xml:space="preserve"> area of the Mississippi Delta; bay – an enclosed marine area; canyon – submarine canyon area; shoreline – shore zones of land or offshore islands, including barrier islands; shelf – continental shelf, broadly; deeps – all areas deeper than the continental shelf; (for example)</w:t>
      </w:r>
      <w:r w:rsidR="00311D5F" w:rsidRPr="00311D5F">
        <w:rPr>
          <w:rFonts w:cstheme="minorHAnsi"/>
          <w:color w:val="000000" w:themeColor="text1"/>
          <w:sz w:val="24"/>
          <w:szCs w:val="24"/>
        </w:rPr>
        <w:t xml:space="preserve"> </w:t>
      </w:r>
      <w:r w:rsidR="00311D5F">
        <w:rPr>
          <w:rFonts w:cstheme="minorHAnsi"/>
          <w:color w:val="000000" w:themeColor="text1"/>
          <w:sz w:val="24"/>
          <w:szCs w:val="24"/>
        </w:rPr>
        <w:t>25_wd_80 –for all data in areas between 25 and 80m WD; (for example)</w:t>
      </w:r>
      <w:r w:rsidR="00311D5F" w:rsidRPr="00311D5F">
        <w:rPr>
          <w:rFonts w:cstheme="minorHAnsi"/>
          <w:color w:val="000000" w:themeColor="text1"/>
          <w:sz w:val="24"/>
          <w:szCs w:val="24"/>
        </w:rPr>
        <w:t xml:space="preserve"> </w:t>
      </w:r>
      <w:r w:rsidR="00311D5F">
        <w:rPr>
          <w:rFonts w:cstheme="minorHAnsi"/>
          <w:color w:val="000000" w:themeColor="text1"/>
          <w:sz w:val="24"/>
          <w:szCs w:val="24"/>
        </w:rPr>
        <w:t xml:space="preserve">33_mud_66 – all data in areas with between 33 and 66% mud contents according to </w:t>
      </w:r>
      <w:proofErr w:type="spellStart"/>
      <w:r w:rsidR="00311D5F">
        <w:rPr>
          <w:rFonts w:cstheme="minorHAnsi"/>
          <w:color w:val="000000" w:themeColor="text1"/>
          <w:sz w:val="24"/>
          <w:szCs w:val="24"/>
        </w:rPr>
        <w:t>dbSEABED</w:t>
      </w:r>
      <w:proofErr w:type="spellEnd"/>
      <w:r w:rsidR="00311D5F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11D5F">
        <w:rPr>
          <w:rFonts w:cstheme="minorHAnsi"/>
          <w:color w:val="000000" w:themeColor="text1"/>
          <w:sz w:val="24"/>
          <w:szCs w:val="24"/>
        </w:rPr>
        <w:t>griddings</w:t>
      </w:r>
      <w:proofErr w:type="spellEnd"/>
      <w:r w:rsidR="00311D5F">
        <w:rPr>
          <w:rFonts w:cstheme="minorHAnsi"/>
          <w:color w:val="000000" w:themeColor="text1"/>
          <w:sz w:val="24"/>
          <w:szCs w:val="24"/>
        </w:rPr>
        <w:t xml:space="preserve"> (Jenkins ) ; </w:t>
      </w:r>
      <w:proofErr w:type="spellStart"/>
      <w:r w:rsidR="00311D5F">
        <w:rPr>
          <w:rFonts w:cstheme="minorHAnsi"/>
          <w:color w:val="000000" w:themeColor="text1"/>
          <w:sz w:val="24"/>
          <w:szCs w:val="24"/>
        </w:rPr>
        <w:t>raw_by_codes</w:t>
      </w:r>
      <w:proofErr w:type="spellEnd"/>
      <w:r w:rsidR="00311D5F">
        <w:rPr>
          <w:rFonts w:cstheme="minorHAnsi"/>
          <w:color w:val="000000" w:themeColor="text1"/>
          <w:sz w:val="24"/>
          <w:szCs w:val="24"/>
        </w:rPr>
        <w:t xml:space="preserve"> – all the data.</w:t>
      </w:r>
    </w:p>
    <w:p w:rsidR="008E5E2B" w:rsidRDefault="00027DBB" w:rsidP="00DC52D4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46.5pt">
            <v:imagedata r:id="rId4" o:title="figS1_gt200" croptop="4700f" cropbottom="1142f" cropleft="1915f" cropright="4959f"/>
          </v:shape>
        </w:pict>
      </w:r>
    </w:p>
    <w:p w:rsidR="008E5E2B" w:rsidRPr="00E12967" w:rsidRDefault="008E5E2B" w:rsidP="00DC52D4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12967">
        <w:rPr>
          <w:rFonts w:cstheme="minorHAnsi"/>
          <w:color w:val="000000" w:themeColor="text1"/>
          <w:sz w:val="24"/>
          <w:szCs w:val="24"/>
        </w:rPr>
        <w:lastRenderedPageBreak/>
        <w:t xml:space="preserve">Table S1. </w:t>
      </w:r>
      <w:r w:rsidR="00E12967" w:rsidRPr="00DC52D4">
        <w:rPr>
          <w:rFonts w:cstheme="minorHAnsi"/>
          <w:color w:val="000000" w:themeColor="text1"/>
          <w:sz w:val="24"/>
          <w:szCs w:val="24"/>
        </w:rPr>
        <w:t>Sadler Effect coefficients for divisions of the data by WD and province. (* Va</w:t>
      </w:r>
      <w:r w:rsidR="00E12967">
        <w:rPr>
          <w:rFonts w:cstheme="minorHAnsi"/>
          <w:color w:val="000000" w:themeColor="text1"/>
          <w:sz w:val="24"/>
          <w:szCs w:val="24"/>
        </w:rPr>
        <w:t>lues have units of log10_cm/yr.</w:t>
      </w:r>
      <w:r w:rsidR="00E12967" w:rsidRPr="00DC52D4">
        <w:rPr>
          <w:rFonts w:cstheme="minorHAnsi"/>
          <w:color w:val="000000" w:themeColor="text1"/>
          <w:sz w:val="24"/>
          <w:szCs w:val="24"/>
        </w:rPr>
        <w:t>)</w:t>
      </w:r>
    </w:p>
    <w:p w:rsidR="008E5E2B" w:rsidRDefault="008E5E2B" w:rsidP="00DC52D4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1220"/>
        <w:gridCol w:w="1480"/>
        <w:gridCol w:w="1440"/>
        <w:gridCol w:w="990"/>
        <w:gridCol w:w="970"/>
        <w:gridCol w:w="1220"/>
        <w:gridCol w:w="1220"/>
        <w:gridCol w:w="1220"/>
      </w:tblGrid>
      <w:tr w:rsidR="008E5E2B" w:rsidRPr="00DD51AF" w:rsidTr="007138BF">
        <w:trPr>
          <w:trHeight w:val="300"/>
          <w:jc w:val="center"/>
        </w:trPr>
        <w:tc>
          <w:tcPr>
            <w:tcW w:w="1615" w:type="dxa"/>
            <w:shd w:val="clear" w:color="auto" w:fill="E7E6E6" w:themeFill="background2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Parameter:</w:t>
            </w:r>
          </w:p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8E5E2B" w:rsidRPr="00DD51AF" w:rsidRDefault="008E5E2B" w:rsidP="007138BF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Division:</w:t>
            </w:r>
          </w:p>
        </w:tc>
        <w:tc>
          <w:tcPr>
            <w:tcW w:w="1220" w:type="dxa"/>
            <w:shd w:val="clear" w:color="auto" w:fill="F2F2F2" w:themeFill="background1" w:themeFillShade="F2"/>
            <w:noWrap/>
            <w:vAlign w:val="center"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Sl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o</w:t>
            </w: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pe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β’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80" w:type="dxa"/>
            <w:shd w:val="clear" w:color="auto" w:fill="F2F2F2" w:themeFill="background1" w:themeFillShade="F2"/>
            <w:noWrap/>
            <w:vAlign w:val="center"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</w:t>
            </w: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nt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e</w:t>
            </w: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rc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e</w:t>
            </w: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pt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α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*)</w:t>
            </w:r>
          </w:p>
        </w:tc>
        <w:tc>
          <w:tcPr>
            <w:tcW w:w="1440" w:type="dxa"/>
            <w:shd w:val="clear" w:color="auto" w:fill="F2F2F2" w:themeFill="background1" w:themeFillShade="F2"/>
            <w:noWrap/>
            <w:vAlign w:val="center"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Intercept LAR (cm/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yr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vAlign w:val="center"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R</w:t>
            </w: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70" w:type="dxa"/>
            <w:shd w:val="clear" w:color="auto" w:fill="F2F2F2" w:themeFill="background1" w:themeFillShade="F2"/>
            <w:noWrap/>
            <w:vAlign w:val="center"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220" w:type="dxa"/>
            <w:shd w:val="clear" w:color="auto" w:fill="F2F2F2" w:themeFill="background1" w:themeFillShade="F2"/>
            <w:noWrap/>
            <w:vAlign w:val="center"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stdErr</w:t>
            </w:r>
            <w:proofErr w:type="spellEnd"/>
          </w:p>
        </w:tc>
        <w:tc>
          <w:tcPr>
            <w:tcW w:w="1220" w:type="dxa"/>
            <w:shd w:val="clear" w:color="auto" w:fill="F2F2F2" w:themeFill="background1" w:themeFillShade="F2"/>
            <w:noWrap/>
            <w:vAlign w:val="center"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SD </w:t>
            </w: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Int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e</w:t>
            </w: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rc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e</w:t>
            </w: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pt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(*)</w:t>
            </w:r>
          </w:p>
        </w:tc>
        <w:tc>
          <w:tcPr>
            <w:tcW w:w="1220" w:type="dxa"/>
            <w:shd w:val="clear" w:color="auto" w:fill="F2F2F2" w:themeFill="background1" w:themeFillShade="F2"/>
            <w:noWrap/>
            <w:vAlign w:val="center"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SD </w:t>
            </w: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Slope</w:t>
            </w:r>
          </w:p>
        </w:tc>
      </w:tr>
      <w:tr w:rsidR="008E5E2B" w:rsidRPr="00DD51AF" w:rsidTr="007138BF">
        <w:trPr>
          <w:trHeight w:val="300"/>
          <w:jc w:val="center"/>
        </w:trPr>
        <w:tc>
          <w:tcPr>
            <w:tcW w:w="1615" w:type="dxa"/>
            <w:shd w:val="clear" w:color="auto" w:fill="E7E6E6" w:themeFill="background2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All data</w:t>
            </w:r>
          </w:p>
        </w:tc>
        <w:tc>
          <w:tcPr>
            <w:tcW w:w="1220" w:type="dxa"/>
            <w:noWrap/>
            <w:vAlign w:val="bottom"/>
            <w:hideMark/>
          </w:tcPr>
          <w:p w:rsidR="008E5E2B" w:rsidRPr="00603BDB" w:rsidRDefault="008E5E2B" w:rsidP="007138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BDB">
              <w:rPr>
                <w:rFonts w:ascii="Calibri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480" w:type="dxa"/>
            <w:noWrap/>
            <w:vAlign w:val="bottom"/>
            <w:hideMark/>
          </w:tcPr>
          <w:p w:rsidR="008E5E2B" w:rsidRPr="00603BDB" w:rsidRDefault="008E5E2B" w:rsidP="007138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BDB">
              <w:rPr>
                <w:rFonts w:ascii="Calibri" w:hAnsi="Calibri" w:cs="Calibri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440" w:type="dxa"/>
            <w:noWrap/>
            <w:vAlign w:val="bottom"/>
            <w:hideMark/>
          </w:tcPr>
          <w:p w:rsidR="008E5E2B" w:rsidRPr="00603BDB" w:rsidRDefault="008E5E2B" w:rsidP="007138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BDB">
              <w:rPr>
                <w:rFonts w:ascii="Calibri" w:hAnsi="Calibri" w:cs="Calibri"/>
                <w:color w:val="000000"/>
                <w:sz w:val="24"/>
                <w:szCs w:val="24"/>
              </w:rPr>
              <w:t>51.3</w:t>
            </w:r>
          </w:p>
        </w:tc>
        <w:tc>
          <w:tcPr>
            <w:tcW w:w="990" w:type="dxa"/>
            <w:noWrap/>
            <w:vAlign w:val="bottom"/>
            <w:hideMark/>
          </w:tcPr>
          <w:p w:rsidR="008E5E2B" w:rsidRPr="00603BDB" w:rsidRDefault="008E5E2B" w:rsidP="007138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BDB">
              <w:rPr>
                <w:rFonts w:ascii="Calibri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970" w:type="dxa"/>
            <w:noWrap/>
            <w:vAlign w:val="bottom"/>
            <w:hideMark/>
          </w:tcPr>
          <w:p w:rsidR="008E5E2B" w:rsidRPr="00603BDB" w:rsidRDefault="008E5E2B" w:rsidP="007138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BDB">
              <w:rPr>
                <w:rFonts w:ascii="Calibri" w:hAnsi="Calibri" w:cs="Calibri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1220" w:type="dxa"/>
            <w:noWrap/>
            <w:vAlign w:val="bottom"/>
            <w:hideMark/>
          </w:tcPr>
          <w:p w:rsidR="008E5E2B" w:rsidRPr="00603BDB" w:rsidRDefault="008E5E2B" w:rsidP="007138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BDB">
              <w:rPr>
                <w:rFonts w:ascii="Calibri" w:hAnsi="Calibri" w:cs="Calibr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20" w:type="dxa"/>
            <w:noWrap/>
            <w:vAlign w:val="bottom"/>
            <w:hideMark/>
          </w:tcPr>
          <w:p w:rsidR="008E5E2B" w:rsidRPr="00603BDB" w:rsidRDefault="008E5E2B" w:rsidP="007138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BDB">
              <w:rPr>
                <w:rFonts w:ascii="Calibri" w:hAnsi="Calibri" w:cs="Calibri"/>
                <w:color w:val="000000"/>
                <w:sz w:val="24"/>
                <w:szCs w:val="24"/>
              </w:rPr>
              <w:t>0.0004</w:t>
            </w:r>
          </w:p>
        </w:tc>
        <w:tc>
          <w:tcPr>
            <w:tcW w:w="1220" w:type="dxa"/>
            <w:noWrap/>
            <w:vAlign w:val="bottom"/>
            <w:hideMark/>
          </w:tcPr>
          <w:p w:rsidR="008E5E2B" w:rsidRPr="00603BDB" w:rsidRDefault="008E5E2B" w:rsidP="007138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BDB">
              <w:rPr>
                <w:rFonts w:ascii="Calibri" w:hAnsi="Calibri" w:cs="Calibri"/>
                <w:color w:val="000000"/>
                <w:sz w:val="24"/>
                <w:szCs w:val="24"/>
              </w:rPr>
              <w:t>0.0001</w:t>
            </w:r>
          </w:p>
        </w:tc>
      </w:tr>
      <w:tr w:rsidR="008E5E2B" w:rsidRPr="00DD51AF" w:rsidTr="007138BF">
        <w:trPr>
          <w:trHeight w:val="300"/>
          <w:jc w:val="center"/>
        </w:trPr>
        <w:tc>
          <w:tcPr>
            <w:tcW w:w="1615" w:type="dxa"/>
            <w:shd w:val="clear" w:color="auto" w:fill="E7E6E6" w:themeFill="background2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0_wd_25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0.55</w:t>
            </w:r>
          </w:p>
        </w:tc>
        <w:tc>
          <w:tcPr>
            <w:tcW w:w="148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1.79</w:t>
            </w:r>
          </w:p>
        </w:tc>
        <w:tc>
          <w:tcPr>
            <w:tcW w:w="144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61.7</w:t>
            </w:r>
          </w:p>
        </w:tc>
        <w:tc>
          <w:tcPr>
            <w:tcW w:w="99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0.73</w:t>
            </w:r>
          </w:p>
        </w:tc>
        <w:tc>
          <w:tcPr>
            <w:tcW w:w="97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388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0.0011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0.0003</w:t>
            </w:r>
          </w:p>
        </w:tc>
      </w:tr>
      <w:tr w:rsidR="008E5E2B" w:rsidRPr="00DD51AF" w:rsidTr="007138BF">
        <w:trPr>
          <w:trHeight w:val="300"/>
          <w:jc w:val="center"/>
        </w:trPr>
        <w:tc>
          <w:tcPr>
            <w:tcW w:w="1615" w:type="dxa"/>
            <w:shd w:val="clear" w:color="auto" w:fill="E7E6E6" w:themeFill="background2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25_wd_80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0.54</w:t>
            </w:r>
          </w:p>
        </w:tc>
        <w:tc>
          <w:tcPr>
            <w:tcW w:w="148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2.16</w:t>
            </w:r>
          </w:p>
        </w:tc>
        <w:tc>
          <w:tcPr>
            <w:tcW w:w="144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144.5</w:t>
            </w:r>
          </w:p>
        </w:tc>
        <w:tc>
          <w:tcPr>
            <w:tcW w:w="99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0.66</w:t>
            </w:r>
          </w:p>
        </w:tc>
        <w:tc>
          <w:tcPr>
            <w:tcW w:w="97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0.0027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0.0008</w:t>
            </w:r>
          </w:p>
        </w:tc>
      </w:tr>
      <w:tr w:rsidR="008E5E2B" w:rsidRPr="00DD51AF" w:rsidTr="007138BF">
        <w:trPr>
          <w:trHeight w:val="300"/>
          <w:jc w:val="center"/>
        </w:trPr>
        <w:tc>
          <w:tcPr>
            <w:tcW w:w="1615" w:type="dxa"/>
            <w:shd w:val="clear" w:color="auto" w:fill="E7E6E6" w:themeFill="background2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80_wd_300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0.61</w:t>
            </w:r>
          </w:p>
        </w:tc>
        <w:tc>
          <w:tcPr>
            <w:tcW w:w="148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2.05</w:t>
            </w:r>
          </w:p>
        </w:tc>
        <w:tc>
          <w:tcPr>
            <w:tcW w:w="144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112.2</w:t>
            </w:r>
          </w:p>
        </w:tc>
        <w:tc>
          <w:tcPr>
            <w:tcW w:w="99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0.74</w:t>
            </w:r>
          </w:p>
        </w:tc>
        <w:tc>
          <w:tcPr>
            <w:tcW w:w="97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0.04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0.0064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0.0017</w:t>
            </w:r>
          </w:p>
        </w:tc>
      </w:tr>
      <w:tr w:rsidR="008E5E2B" w:rsidRPr="00DD51AF" w:rsidTr="007138BF">
        <w:trPr>
          <w:trHeight w:val="300"/>
          <w:jc w:val="center"/>
        </w:trPr>
        <w:tc>
          <w:tcPr>
            <w:tcW w:w="1615" w:type="dxa"/>
            <w:shd w:val="clear" w:color="auto" w:fill="E7E6E6" w:themeFill="background2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300_wd_4000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0.49</w:t>
            </w:r>
          </w:p>
        </w:tc>
        <w:tc>
          <w:tcPr>
            <w:tcW w:w="148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0.45</w:t>
            </w:r>
          </w:p>
        </w:tc>
        <w:tc>
          <w:tcPr>
            <w:tcW w:w="144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99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97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0.0063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0.0016</w:t>
            </w:r>
          </w:p>
        </w:tc>
      </w:tr>
      <w:tr w:rsidR="008E5E2B" w:rsidRPr="00DD51AF" w:rsidTr="007138BF">
        <w:trPr>
          <w:trHeight w:val="300"/>
          <w:jc w:val="center"/>
        </w:trPr>
        <w:tc>
          <w:tcPr>
            <w:tcW w:w="1615" w:type="dxa"/>
            <w:shd w:val="clear" w:color="auto" w:fill="E7E6E6" w:themeFill="background2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shoreline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0.57</w:t>
            </w:r>
          </w:p>
        </w:tc>
        <w:tc>
          <w:tcPr>
            <w:tcW w:w="148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1.87</w:t>
            </w:r>
          </w:p>
        </w:tc>
        <w:tc>
          <w:tcPr>
            <w:tcW w:w="144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74.1</w:t>
            </w:r>
          </w:p>
        </w:tc>
        <w:tc>
          <w:tcPr>
            <w:tcW w:w="99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0.79</w:t>
            </w:r>
          </w:p>
        </w:tc>
        <w:tc>
          <w:tcPr>
            <w:tcW w:w="97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0.0018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0.0005</w:t>
            </w:r>
          </w:p>
        </w:tc>
      </w:tr>
      <w:tr w:rsidR="008E5E2B" w:rsidRPr="00DD51AF" w:rsidTr="007138BF">
        <w:trPr>
          <w:trHeight w:val="300"/>
          <w:jc w:val="center"/>
        </w:trPr>
        <w:tc>
          <w:tcPr>
            <w:tcW w:w="1615" w:type="dxa"/>
            <w:shd w:val="clear" w:color="auto" w:fill="E7E6E6" w:themeFill="background2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bay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0.43</w:t>
            </w:r>
          </w:p>
        </w:tc>
        <w:tc>
          <w:tcPr>
            <w:tcW w:w="148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144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17.4</w:t>
            </w:r>
          </w:p>
        </w:tc>
        <w:tc>
          <w:tcPr>
            <w:tcW w:w="99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0.55</w:t>
            </w:r>
          </w:p>
        </w:tc>
        <w:tc>
          <w:tcPr>
            <w:tcW w:w="97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0.0153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0.0038</w:t>
            </w:r>
          </w:p>
        </w:tc>
      </w:tr>
      <w:tr w:rsidR="008E5E2B" w:rsidRPr="00DD51AF" w:rsidTr="007138BF">
        <w:trPr>
          <w:trHeight w:val="300"/>
          <w:jc w:val="center"/>
        </w:trPr>
        <w:tc>
          <w:tcPr>
            <w:tcW w:w="1615" w:type="dxa"/>
            <w:shd w:val="clear" w:color="auto" w:fill="E7E6E6" w:themeFill="background2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prodelta</w:t>
            </w:r>
            <w:proofErr w:type="spellEnd"/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0.48</w:t>
            </w:r>
          </w:p>
        </w:tc>
        <w:tc>
          <w:tcPr>
            <w:tcW w:w="148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44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316.2</w:t>
            </w:r>
          </w:p>
        </w:tc>
        <w:tc>
          <w:tcPr>
            <w:tcW w:w="99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97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0.0037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0.0010</w:t>
            </w:r>
          </w:p>
        </w:tc>
      </w:tr>
      <w:tr w:rsidR="008E5E2B" w:rsidRPr="00DD51AF" w:rsidTr="007138BF">
        <w:trPr>
          <w:trHeight w:val="300"/>
          <w:jc w:val="center"/>
        </w:trPr>
        <w:tc>
          <w:tcPr>
            <w:tcW w:w="1615" w:type="dxa"/>
            <w:shd w:val="clear" w:color="auto" w:fill="E7E6E6" w:themeFill="background2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shelf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0.56</w:t>
            </w:r>
          </w:p>
        </w:tc>
        <w:tc>
          <w:tcPr>
            <w:tcW w:w="148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1.74</w:t>
            </w:r>
          </w:p>
        </w:tc>
        <w:tc>
          <w:tcPr>
            <w:tcW w:w="144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55.0</w:t>
            </w:r>
          </w:p>
        </w:tc>
        <w:tc>
          <w:tcPr>
            <w:tcW w:w="99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97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0.0012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0.0003</w:t>
            </w:r>
          </w:p>
        </w:tc>
      </w:tr>
      <w:tr w:rsidR="008E5E2B" w:rsidRPr="00DD51AF" w:rsidTr="007138BF">
        <w:trPr>
          <w:trHeight w:val="300"/>
          <w:jc w:val="center"/>
        </w:trPr>
        <w:tc>
          <w:tcPr>
            <w:tcW w:w="1615" w:type="dxa"/>
            <w:shd w:val="clear" w:color="auto" w:fill="E7E6E6" w:themeFill="background2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deeps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0.45</w:t>
            </w:r>
          </w:p>
        </w:tc>
        <w:tc>
          <w:tcPr>
            <w:tcW w:w="148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-0.16</w:t>
            </w:r>
          </w:p>
        </w:tc>
        <w:tc>
          <w:tcPr>
            <w:tcW w:w="144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0.7</w:t>
            </w:r>
          </w:p>
        </w:tc>
        <w:tc>
          <w:tcPr>
            <w:tcW w:w="99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0.68</w:t>
            </w:r>
          </w:p>
        </w:tc>
        <w:tc>
          <w:tcPr>
            <w:tcW w:w="97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0.04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0.0063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0.0015</w:t>
            </w:r>
          </w:p>
        </w:tc>
      </w:tr>
      <w:tr w:rsidR="008E5E2B" w:rsidRPr="00DD51AF" w:rsidTr="007138BF">
        <w:trPr>
          <w:trHeight w:val="300"/>
          <w:jc w:val="center"/>
        </w:trPr>
        <w:tc>
          <w:tcPr>
            <w:tcW w:w="1615" w:type="dxa"/>
            <w:shd w:val="clear" w:color="auto" w:fill="E7E6E6" w:themeFill="background2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canyon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0.61</w:t>
            </w:r>
          </w:p>
        </w:tc>
        <w:tc>
          <w:tcPr>
            <w:tcW w:w="148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1.84</w:t>
            </w:r>
          </w:p>
        </w:tc>
        <w:tc>
          <w:tcPr>
            <w:tcW w:w="144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69.2</w:t>
            </w:r>
          </w:p>
        </w:tc>
        <w:tc>
          <w:tcPr>
            <w:tcW w:w="99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0.55</w:t>
            </w:r>
          </w:p>
        </w:tc>
        <w:tc>
          <w:tcPr>
            <w:tcW w:w="97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0.11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0.0371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0.0100</w:t>
            </w:r>
          </w:p>
        </w:tc>
      </w:tr>
      <w:tr w:rsidR="008E5E2B" w:rsidRPr="00DD51AF" w:rsidTr="007138BF">
        <w:trPr>
          <w:trHeight w:val="300"/>
          <w:jc w:val="center"/>
        </w:trPr>
        <w:tc>
          <w:tcPr>
            <w:tcW w:w="1615" w:type="dxa"/>
            <w:shd w:val="clear" w:color="auto" w:fill="E7E6E6" w:themeFill="background2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0_mud_33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0.54</w:t>
            </w:r>
          </w:p>
        </w:tc>
        <w:tc>
          <w:tcPr>
            <w:tcW w:w="148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1.44</w:t>
            </w:r>
          </w:p>
        </w:tc>
        <w:tc>
          <w:tcPr>
            <w:tcW w:w="144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27.5</w:t>
            </w:r>
          </w:p>
        </w:tc>
        <w:tc>
          <w:tcPr>
            <w:tcW w:w="99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97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0.0082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0.0018</w:t>
            </w:r>
          </w:p>
        </w:tc>
      </w:tr>
      <w:tr w:rsidR="008E5E2B" w:rsidRPr="00DD51AF" w:rsidTr="007138BF">
        <w:trPr>
          <w:trHeight w:val="300"/>
          <w:jc w:val="center"/>
        </w:trPr>
        <w:tc>
          <w:tcPr>
            <w:tcW w:w="1615" w:type="dxa"/>
            <w:shd w:val="clear" w:color="auto" w:fill="E7E6E6" w:themeFill="background2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33_mud_66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0.56</w:t>
            </w:r>
          </w:p>
        </w:tc>
        <w:tc>
          <w:tcPr>
            <w:tcW w:w="148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1.61</w:t>
            </w:r>
          </w:p>
        </w:tc>
        <w:tc>
          <w:tcPr>
            <w:tcW w:w="144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40.7</w:t>
            </w:r>
          </w:p>
        </w:tc>
        <w:tc>
          <w:tcPr>
            <w:tcW w:w="99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97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0.0030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0.0008</w:t>
            </w:r>
          </w:p>
        </w:tc>
      </w:tr>
      <w:tr w:rsidR="008E5E2B" w:rsidRPr="00DD51AF" w:rsidTr="007138BF">
        <w:trPr>
          <w:trHeight w:val="300"/>
          <w:jc w:val="center"/>
        </w:trPr>
        <w:tc>
          <w:tcPr>
            <w:tcW w:w="1615" w:type="dxa"/>
            <w:shd w:val="clear" w:color="auto" w:fill="E7E6E6" w:themeFill="background2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b/>
                <w:color w:val="000000" w:themeColor="text1"/>
                <w:sz w:val="24"/>
                <w:szCs w:val="24"/>
              </w:rPr>
              <w:t>66_mud_100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0.56</w:t>
            </w:r>
          </w:p>
        </w:tc>
        <w:tc>
          <w:tcPr>
            <w:tcW w:w="148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44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63.1</w:t>
            </w:r>
          </w:p>
        </w:tc>
        <w:tc>
          <w:tcPr>
            <w:tcW w:w="99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0.66</w:t>
            </w:r>
          </w:p>
        </w:tc>
        <w:tc>
          <w:tcPr>
            <w:tcW w:w="97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436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0.0010</w:t>
            </w:r>
          </w:p>
        </w:tc>
        <w:tc>
          <w:tcPr>
            <w:tcW w:w="1220" w:type="dxa"/>
            <w:noWrap/>
            <w:hideMark/>
          </w:tcPr>
          <w:p w:rsidR="008E5E2B" w:rsidRPr="00DD51AF" w:rsidRDefault="008E5E2B" w:rsidP="007138B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51AF">
              <w:rPr>
                <w:rFonts w:cstheme="minorHAnsi"/>
                <w:color w:val="000000" w:themeColor="text1"/>
                <w:sz w:val="24"/>
                <w:szCs w:val="24"/>
              </w:rPr>
              <w:t>0.0003</w:t>
            </w:r>
          </w:p>
        </w:tc>
      </w:tr>
    </w:tbl>
    <w:p w:rsidR="008E5E2B" w:rsidRDefault="008E5E2B" w:rsidP="008E5E2B"/>
    <w:p w:rsidR="008E5E2B" w:rsidRDefault="008E5E2B" w:rsidP="00927215">
      <w:pPr>
        <w:spacing w:line="480" w:lineRule="auto"/>
        <w:rPr>
          <w:rFonts w:cstheme="minorHAnsi"/>
          <w:color w:val="000000" w:themeColor="text1"/>
          <w:sz w:val="24"/>
          <w:szCs w:val="24"/>
        </w:rPr>
        <w:sectPr w:rsidR="008E5E2B" w:rsidSect="008E5E2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E5E2B" w:rsidRPr="005B2AA0" w:rsidRDefault="008E5E2B" w:rsidP="00927215">
      <w:pPr>
        <w:spacing w:line="480" w:lineRule="auto"/>
        <w:rPr>
          <w:rFonts w:cstheme="minorHAnsi"/>
          <w:color w:val="000000" w:themeColor="text1"/>
          <w:sz w:val="24"/>
          <w:szCs w:val="24"/>
        </w:rPr>
      </w:pPr>
    </w:p>
    <w:p w:rsidR="00927215" w:rsidRPr="008B088A" w:rsidRDefault="00927215" w:rsidP="00927215">
      <w:pPr>
        <w:spacing w:line="48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8B088A">
        <w:rPr>
          <w:rFonts w:cstheme="minorHAnsi"/>
          <w:b/>
          <w:color w:val="000000" w:themeColor="text1"/>
          <w:sz w:val="24"/>
          <w:szCs w:val="24"/>
        </w:rPr>
        <w:t>Supplementary: Data References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Allison, M.A., Bianchi, T.S., McKee, B.A., and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Sampere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T.P. 2007, Carbon burial on river-dominated continental shelves: Impact of historical changes in sediment loading adjacent to the Mississippi River: Geophysical Research Letters, v. 34, </w:t>
      </w:r>
      <w:r w:rsidR="00283DDC">
        <w:rPr>
          <w:rFonts w:cstheme="minorHAnsi"/>
          <w:color w:val="000000" w:themeColor="text1"/>
          <w:sz w:val="24"/>
          <w:szCs w:val="24"/>
        </w:rPr>
        <w:t>no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. L01606,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doi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: 10.1029/2006GL028362.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Allison, M.A.,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Dellapenna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T.M., Gordon, E.S.,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Mitra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S., and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Petsch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S.T. 2010, Impact of Hurricane Katrina (2005) on shelf organic carbon burial and deltaic evolution: Geophysical Research Letters, v. 37, p. L21605,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doi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: 10.1029/2010GL044547.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Allison, M.A.,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Kineke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G.C., Gordon, E.S., and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Go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ñ</w:t>
      </w:r>
      <w:r w:rsidRPr="008B088A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="0012604F">
        <w:rPr>
          <w:rFonts w:cstheme="minorHAnsi"/>
          <w:color w:val="000000" w:themeColor="text1"/>
          <w:sz w:val="24"/>
          <w:szCs w:val="24"/>
        </w:rPr>
        <w:t>,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 M.A. 2000, Development and reworking of a seasonal mud deposit on the inner continental shelf off the Atchafalaya River: Continental Shelf Research, v. 20, p. 2267-2294.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>Anderson, J.B., and Rodriguez, A.B. 2008. Response of Upper Gulf Coast Estuaries to Holocene Climate Change and Sea-level Rise: Geological Society of America Special Paper 443, 146 pp</w:t>
      </w:r>
      <w:r w:rsidR="0012604F">
        <w:rPr>
          <w:rFonts w:cstheme="minorHAnsi"/>
          <w:color w:val="000000" w:themeColor="text1"/>
          <w:sz w:val="24"/>
          <w:szCs w:val="24"/>
        </w:rPr>
        <w:t>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>Bentley, S.J., Furukawa, Y., and Vaughan, W.C. 2000, Record of Event Sedimentation in Mississippi Sound: Gulf Coast Association of Geological Societies Transactions, v. 50, p. 715-724.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>Bentley, S.J., Keen, T.R., Blain, C.A., and Vaughan W.C. 2002, The origin and preservation of a major hurricane event bed in the northern Gulf of Mexico: Hurricane Camille, 1969: Marine Geology, v. 186(3–4), p. 423–446.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lastRenderedPageBreak/>
        <w:t xml:space="preserve">Bianchi, T.S., Allison, M.A.,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Canuel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E.A., Corbett, D.R., McKee, B.A.,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Sampere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T.P.,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Wakeham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S.G., and Waterson, E. 2006, Rapid Export of Organic Matter to the Mississippi Canyon: EOS, v. 87(50), p. 565–573.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Bianchi, T.S.,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Mitra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S., and McKee, B.A. 2002, Sources of terrestrially-derived organic carbon in lower Mississippi River and Louisiana shelf sediments: implications for differential sedimentation and transport at the coastal margin: Marine Chemistry, v. 77, p. 211-223.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Bregy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J.C. 2016, Determining the Viability of Recent Storms as Modern Analogues for North- Central Gulf of Mexico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Paleotempestology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 through Sedimentary Analysis and Storm Surge Reconstruction: University of Southern Mississippi</w:t>
      </w:r>
      <w:r w:rsidR="0012604F">
        <w:rPr>
          <w:rFonts w:cstheme="minorHAnsi"/>
          <w:color w:val="000000" w:themeColor="text1"/>
          <w:sz w:val="24"/>
          <w:szCs w:val="24"/>
        </w:rPr>
        <w:t>, Mississippi, USA,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 Master's Theses, Paper </w:t>
      </w:r>
      <w:r w:rsidR="0012604F">
        <w:rPr>
          <w:rFonts w:cstheme="minorHAnsi"/>
          <w:color w:val="000000" w:themeColor="text1"/>
          <w:sz w:val="24"/>
          <w:szCs w:val="24"/>
        </w:rPr>
        <w:t xml:space="preserve">no. 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198, 64 pp., [Available: </w:t>
      </w:r>
      <w:hyperlink r:id="rId5" w:history="1">
        <w:r w:rsidRPr="008B088A">
          <w:rPr>
            <w:rStyle w:val="Hyperlink"/>
            <w:rFonts w:cstheme="minorHAnsi"/>
            <w:sz w:val="24"/>
            <w:szCs w:val="24"/>
          </w:rPr>
          <w:t>http://aquila.usm.edu/masters_theses/198</w:t>
        </w:r>
      </w:hyperlink>
      <w:r w:rsidRPr="008B088A">
        <w:rPr>
          <w:rFonts w:cstheme="minorHAnsi"/>
          <w:color w:val="000000" w:themeColor="text1"/>
          <w:sz w:val="24"/>
          <w:szCs w:val="24"/>
        </w:rPr>
        <w:t xml:space="preserve"> , accessed 07 December 2016].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Brooks, G.R., Larson, R.A., Schwing, P.T., Romero, I., Moore, C.,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Reichart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G.-J.,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Jilbert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T.,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Chanton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J.P., Hastings, D.W., Overholt, W.A., Marks, K.P.,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Kostka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J.E., Holmes, C.W., and Hollander, D. 2015, Sedimentation Pulse in the NE Gulf of Mexico following the 2010 DWH Blowout: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PLoS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 ONE, v. 10(7), </w:t>
      </w:r>
      <w:r w:rsidR="0012604F">
        <w:rPr>
          <w:rFonts w:cstheme="minorHAnsi"/>
          <w:color w:val="000000" w:themeColor="text1"/>
          <w:sz w:val="24"/>
          <w:szCs w:val="24"/>
        </w:rPr>
        <w:t>no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. e0132341,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doi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: 10.1371/journal.pone.0132341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Chmura, G.L., and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Kosters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E.C. 1994, Storm Deposition and </w:t>
      </w:r>
      <w:r w:rsidRPr="008B088A">
        <w:rPr>
          <w:rFonts w:cstheme="minorHAnsi"/>
          <w:color w:val="000000" w:themeColor="text1"/>
          <w:sz w:val="24"/>
          <w:szCs w:val="24"/>
          <w:vertAlign w:val="superscript"/>
        </w:rPr>
        <w:t>137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Cs Accumulation in Fine-grained Marsh Sediments of the Mississippi Delta Plain: Estuarine, Coastal and Shelf Science, v. 39, p. 33-44. 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Continental Shelf Associates, Inc. 2004, Final Report. Gulf of Mexico Comprehensive Synthetic Based Muds Monitoring Program. Volume II: Technical. October 2004: Prepared for SSM Research Group by Continental Shelf Associates Inc., Jupiter, Florida, </w:t>
      </w:r>
      <w:r w:rsidR="0012604F">
        <w:rPr>
          <w:rFonts w:cstheme="minorHAnsi"/>
          <w:color w:val="000000" w:themeColor="text1"/>
          <w:sz w:val="24"/>
          <w:szCs w:val="24"/>
        </w:rPr>
        <w:t xml:space="preserve">USA, </w:t>
      </w:r>
      <w:r w:rsidRPr="008B088A">
        <w:rPr>
          <w:rFonts w:cstheme="minorHAnsi"/>
          <w:color w:val="000000" w:themeColor="text1"/>
          <w:sz w:val="24"/>
          <w:szCs w:val="24"/>
        </w:rPr>
        <w:t>358 pp.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lastRenderedPageBreak/>
        <w:t xml:space="preserve">Continental Shelf Associates, Inc. 2004, Final Report. Gulf of Mexico Comprehensive Synthetic Based Muds Monitoring Program: Prepared for SBM Research Group, 14 pp, Available: </w:t>
      </w:r>
      <w:hyperlink r:id="rId6" w:history="1">
        <w:r w:rsidRPr="008B088A">
          <w:rPr>
            <w:rStyle w:val="Hyperlink"/>
            <w:rFonts w:cstheme="minorHAnsi"/>
            <w:sz w:val="24"/>
            <w:szCs w:val="24"/>
          </w:rPr>
          <w:t>http://www.nodc.noaa.gov/archive/arc0031/0069470/1.1/data/0-data/Executive%20Summary%20Volume.pdf</w:t>
        </w:r>
      </w:hyperlink>
      <w:r w:rsidRPr="008B088A">
        <w:rPr>
          <w:rFonts w:cstheme="minorHAnsi"/>
          <w:color w:val="000000" w:themeColor="text1"/>
          <w:sz w:val="24"/>
          <w:szCs w:val="24"/>
        </w:rPr>
        <w:t>, Accessed 06 Dec 2016.</w:t>
      </w:r>
    </w:p>
    <w:p w:rsidR="00927215" w:rsidRPr="008B088A" w:rsidRDefault="00927215" w:rsidP="00927215">
      <w:pPr>
        <w:spacing w:after="0" w:line="480" w:lineRule="auto"/>
        <w:ind w:left="440" w:right="144" w:hanging="440"/>
        <w:rPr>
          <w:rFonts w:eastAsia="Times New Roman" w:cstheme="minorHAnsi"/>
          <w:color w:val="000000" w:themeColor="text1"/>
          <w:sz w:val="24"/>
          <w:szCs w:val="24"/>
        </w:rPr>
      </w:pP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Corbett R., McKee, B.A., and Duncan, D. 2004, An evaluation of </w:t>
      </w:r>
      <w:r w:rsidRPr="008B088A">
        <w:rPr>
          <w:rFonts w:eastAsia="Times New Roman" w:cstheme="minorHAnsi"/>
          <w:color w:val="000000" w:themeColor="text1"/>
          <w:spacing w:val="-2"/>
          <w:sz w:val="24"/>
          <w:szCs w:val="24"/>
        </w:rPr>
        <w:t>m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obile </w:t>
      </w:r>
      <w:r w:rsidRPr="008B088A">
        <w:rPr>
          <w:rFonts w:eastAsia="Times New Roman" w:cstheme="minorHAnsi"/>
          <w:color w:val="000000" w:themeColor="text1"/>
          <w:spacing w:val="-2"/>
          <w:sz w:val="24"/>
          <w:szCs w:val="24"/>
        </w:rPr>
        <w:t>m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ud dyn</w:t>
      </w:r>
      <w:r w:rsidRPr="008B088A">
        <w:rPr>
          <w:rFonts w:eastAsia="Times New Roman" w:cstheme="minorHAnsi"/>
          <w:color w:val="000000" w:themeColor="text1"/>
          <w:spacing w:val="1"/>
          <w:sz w:val="24"/>
          <w:szCs w:val="24"/>
        </w:rPr>
        <w:t>a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mics in the 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M</w:t>
      </w:r>
      <w:r w:rsidRPr="008B088A">
        <w:rPr>
          <w:rFonts w:eastAsia="Times New Roman" w:cstheme="minorHAnsi"/>
          <w:color w:val="000000" w:themeColor="text1"/>
          <w:spacing w:val="1"/>
          <w:sz w:val="24"/>
          <w:szCs w:val="24"/>
        </w:rPr>
        <w:t>i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s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s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i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s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sippi R</w:t>
      </w:r>
      <w:r w:rsidRPr="008B088A">
        <w:rPr>
          <w:rFonts w:eastAsia="Times New Roman" w:cstheme="minorHAnsi"/>
          <w:color w:val="000000" w:themeColor="text1"/>
          <w:spacing w:val="1"/>
          <w:sz w:val="24"/>
          <w:szCs w:val="24"/>
        </w:rPr>
        <w:t>i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ver deltaic region: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Marine </w:t>
      </w:r>
      <w:r w:rsidRPr="008B088A">
        <w:rPr>
          <w:rFonts w:eastAsia="Times New Roman" w:cstheme="minorHAnsi"/>
          <w:color w:val="000000" w:themeColor="text1"/>
          <w:spacing w:val="-2"/>
          <w:sz w:val="24"/>
          <w:szCs w:val="24"/>
        </w:rPr>
        <w:t>G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eology, 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v.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209, 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p.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91-112.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Corbett, D.R.,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Dail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M., and McKee, B. 2007, High-frequency time-series of the dynamic sedimentation processes on the western shelf of the Mississippi River Delta: Continental Shelf Research, v. 27, p. 1600–1615.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>Corbett, D.R., McKee, B., and Allison, M. 2006, Nature of decadal-scale sediment accumulation on the western shelf of the Mississippi River delta: Continental Shelf Research, v. 26, p. 2125–2140</w:t>
      </w:r>
      <w:r w:rsidR="0012604F">
        <w:rPr>
          <w:rFonts w:cstheme="minorHAnsi"/>
          <w:color w:val="000000" w:themeColor="text1"/>
          <w:sz w:val="24"/>
          <w:szCs w:val="24"/>
        </w:rPr>
        <w:t>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Dail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M.B., Corbett, D.R., and Walsh, J.P. 2007, Assessing the importance of tropical cyclones on continental margin sedimentation in the Mississippi delta region: Continental Shelf Research, v. 27, p. 1857–1874</w:t>
      </w:r>
      <w:r w:rsidR="0012604F">
        <w:rPr>
          <w:rFonts w:cstheme="minorHAnsi"/>
          <w:color w:val="000000" w:themeColor="text1"/>
          <w:sz w:val="24"/>
          <w:szCs w:val="24"/>
        </w:rPr>
        <w:t>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DeLaune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R.D. 1988, Processes of Formation and Degradation of </w:t>
      </w:r>
      <w:proofErr w:type="gramStart"/>
      <w:r w:rsidRPr="008B088A">
        <w:rPr>
          <w:rFonts w:cstheme="minorHAnsi"/>
          <w:color w:val="000000" w:themeColor="text1"/>
          <w:sz w:val="24"/>
          <w:szCs w:val="24"/>
        </w:rPr>
        <w:t>Marshes  along</w:t>
      </w:r>
      <w:proofErr w:type="gramEnd"/>
      <w:r w:rsidRPr="008B088A">
        <w:rPr>
          <w:rFonts w:cstheme="minorHAnsi"/>
          <w:color w:val="000000" w:themeColor="text1"/>
          <w:sz w:val="24"/>
          <w:szCs w:val="24"/>
        </w:rPr>
        <w:t xml:space="preserve">  the Louisiana Gulf Coast: Doctoral thesis, Wageningen University, The Netherlands, 171 p</w:t>
      </w:r>
      <w:r w:rsidR="0012604F">
        <w:rPr>
          <w:rFonts w:cstheme="minorHAnsi"/>
          <w:color w:val="000000" w:themeColor="text1"/>
          <w:sz w:val="24"/>
          <w:szCs w:val="24"/>
        </w:rPr>
        <w:t>p</w:t>
      </w:r>
      <w:r w:rsidRPr="008B088A">
        <w:rPr>
          <w:rFonts w:cstheme="minorHAnsi"/>
          <w:color w:val="000000" w:themeColor="text1"/>
          <w:sz w:val="24"/>
          <w:szCs w:val="24"/>
        </w:rPr>
        <w:t>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DeLaune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R.D., Smith, C.J., Patrick Jr, W.H., and Roberts, H.H. 1987, Rejuvenated Marsh and Bay-bottom Accretion on the Rapidly Subsiding Coastal Plain of U.S. Gulf Coast: a Second-order Effect of the Emerging Atchafalaya Delta: Estuarine, Coastal and Shelf Science, v. 25, p. 381-389.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lastRenderedPageBreak/>
        <w:t>Draut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A.E.,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Kineke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G.C., Velasco, D.W., Allison, M.A., and Prime, R.J. 2005, Influence of the Atchafalaya River on recent evolution of the chenier-plain inner continental shelf, northern Gulf of Mexico: Continental Shelf Research, v. 25(1), p. 91-112.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Dufrene, T.A. 2005, Geological Variability and Holocene Sedimentary Record on the Northern Gulf of Mexico Inner to Mid-Continental Shelf: Master of Science Thesis, Department of Oceanography and Coastal Sciences, Louisiana State University and Agricultural and Mechanical College, </w:t>
      </w:r>
      <w:r w:rsidR="0012604F">
        <w:rPr>
          <w:rFonts w:cstheme="minorHAnsi"/>
          <w:color w:val="000000" w:themeColor="text1"/>
          <w:sz w:val="24"/>
          <w:szCs w:val="24"/>
        </w:rPr>
        <w:t xml:space="preserve">Louisiana, USA, </w:t>
      </w:r>
      <w:r w:rsidRPr="008B088A">
        <w:rPr>
          <w:rFonts w:cstheme="minorHAnsi"/>
          <w:color w:val="000000" w:themeColor="text1"/>
          <w:sz w:val="24"/>
          <w:szCs w:val="24"/>
        </w:rPr>
        <w:t>100 pp.</w:t>
      </w:r>
    </w:p>
    <w:p w:rsidR="00927215" w:rsidRPr="008B088A" w:rsidRDefault="00927215" w:rsidP="00927215">
      <w:pPr>
        <w:spacing w:after="0" w:line="480" w:lineRule="auto"/>
        <w:ind w:left="440" w:right="417" w:hanging="440"/>
        <w:rPr>
          <w:rFonts w:eastAsia="Times New Roman" w:cstheme="minorHAnsi"/>
          <w:color w:val="000000" w:themeColor="text1"/>
          <w:sz w:val="24"/>
          <w:szCs w:val="24"/>
        </w:rPr>
      </w:pP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Eadie, B.J., McKee, B.A., </w:t>
      </w:r>
      <w:proofErr w:type="spellStart"/>
      <w:r w:rsidRPr="008B088A">
        <w:rPr>
          <w:rFonts w:eastAsia="Times New Roman" w:cstheme="minorHAnsi"/>
          <w:color w:val="000000" w:themeColor="text1"/>
          <w:sz w:val="24"/>
          <w:szCs w:val="24"/>
        </w:rPr>
        <w:t>Lansgin</w:t>
      </w:r>
      <w:proofErr w:type="spellEnd"/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, M.B., Metz, S., and </w:t>
      </w:r>
      <w:proofErr w:type="spellStart"/>
      <w:r w:rsidRPr="008B088A">
        <w:rPr>
          <w:rFonts w:eastAsia="Times New Roman" w:cstheme="minorHAnsi"/>
          <w:color w:val="000000" w:themeColor="text1"/>
          <w:sz w:val="24"/>
          <w:szCs w:val="24"/>
        </w:rPr>
        <w:t>Trefry</w:t>
      </w:r>
      <w:proofErr w:type="spellEnd"/>
      <w:r w:rsidRPr="008B088A">
        <w:rPr>
          <w:rFonts w:eastAsia="Times New Roman" w:cstheme="minorHAnsi"/>
          <w:color w:val="000000" w:themeColor="text1"/>
          <w:sz w:val="24"/>
          <w:szCs w:val="24"/>
        </w:rPr>
        <w:t>, J.H. 1994, Records of Nutrie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n</w:t>
      </w:r>
      <w:r w:rsidRPr="008B088A">
        <w:rPr>
          <w:rFonts w:eastAsia="Times New Roman" w:cstheme="minorHAnsi"/>
          <w:color w:val="000000" w:themeColor="text1"/>
          <w:spacing w:val="1"/>
          <w:sz w:val="24"/>
          <w:szCs w:val="24"/>
        </w:rPr>
        <w:t>t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-E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n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hanced Coastal Ocean 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Pr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oducti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v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ity in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Sedi</w:t>
      </w:r>
      <w:r w:rsidRPr="008B088A">
        <w:rPr>
          <w:rFonts w:eastAsia="Times New Roman" w:cstheme="minorHAnsi"/>
          <w:color w:val="000000" w:themeColor="text1"/>
          <w:spacing w:val="-2"/>
          <w:sz w:val="24"/>
          <w:szCs w:val="24"/>
        </w:rPr>
        <w:t>m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ents from</w:t>
      </w:r>
      <w:r w:rsidRPr="008B088A">
        <w:rPr>
          <w:rFonts w:eastAsia="Times New Roman" w:cstheme="minorHAnsi"/>
          <w:color w:val="000000" w:themeColor="text1"/>
          <w:spacing w:val="-2"/>
          <w:sz w:val="24"/>
          <w:szCs w:val="24"/>
        </w:rPr>
        <w:t xml:space="preserve">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the Louisia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n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a Continent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a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l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Shel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f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: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Estuaries, 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v.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17, 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p.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754-765.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Edrington, C.H. 2013, Depositional History of the Trinity-Tiger Shoals Region: A Transgressed Delta Complex of the Middle Holocene Mississippi Delta: Louisiana State University and Agricultural and Mechanical College, </w:t>
      </w:r>
      <w:r w:rsidR="0012604F">
        <w:rPr>
          <w:rFonts w:cstheme="minorHAnsi"/>
          <w:color w:val="000000" w:themeColor="text1"/>
          <w:sz w:val="24"/>
          <w:szCs w:val="24"/>
        </w:rPr>
        <w:t xml:space="preserve">Louisiana, USA, 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Ph.D. Thesis, 886 pp. 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Eipert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A.A. 2007, Sand and mud deposited by Hurricane Katrina on Deer Island, Biloxi Bay: Thesis M.S. in Geological Sciences, Department of Earth and Space Sciences, University of Washington, </w:t>
      </w:r>
      <w:r w:rsidR="0012604F">
        <w:rPr>
          <w:rFonts w:cstheme="minorHAnsi"/>
          <w:color w:val="000000" w:themeColor="text1"/>
          <w:sz w:val="24"/>
          <w:szCs w:val="24"/>
        </w:rPr>
        <w:t xml:space="preserve">Washington, USA, </w:t>
      </w:r>
      <w:r w:rsidRPr="008B088A">
        <w:rPr>
          <w:rFonts w:cstheme="minorHAnsi"/>
          <w:color w:val="000000" w:themeColor="text1"/>
          <w:sz w:val="24"/>
          <w:szCs w:val="24"/>
        </w:rPr>
        <w:t>17 p.</w:t>
      </w:r>
    </w:p>
    <w:p w:rsidR="00927215" w:rsidRPr="008B088A" w:rsidRDefault="00927215" w:rsidP="00927215">
      <w:pPr>
        <w:spacing w:after="0" w:line="480" w:lineRule="auto"/>
        <w:ind w:left="440" w:right="273" w:hanging="450"/>
        <w:rPr>
          <w:rFonts w:eastAsia="Times New Roman" w:cstheme="minorHAnsi"/>
          <w:color w:val="000000" w:themeColor="text1"/>
          <w:sz w:val="24"/>
          <w:szCs w:val="24"/>
        </w:rPr>
      </w:pP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Gordon, E.S., and </w:t>
      </w:r>
      <w:proofErr w:type="spellStart"/>
      <w:r w:rsidRPr="008B088A">
        <w:rPr>
          <w:rFonts w:eastAsia="Times New Roman" w:cstheme="minorHAnsi"/>
          <w:color w:val="000000" w:themeColor="text1"/>
          <w:sz w:val="24"/>
          <w:szCs w:val="24"/>
        </w:rPr>
        <w:t>Goñi</w:t>
      </w:r>
      <w:proofErr w:type="spellEnd"/>
      <w:r w:rsidRPr="008B088A">
        <w:rPr>
          <w:rFonts w:eastAsia="Times New Roman" w:cstheme="minorHAnsi"/>
          <w:color w:val="000000" w:themeColor="text1"/>
          <w:sz w:val="24"/>
          <w:szCs w:val="24"/>
        </w:rPr>
        <w:t>, M.A. 2003, Sources and distribution of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terrigenous organic </w:t>
      </w:r>
      <w:r w:rsidRPr="008B088A">
        <w:rPr>
          <w:rFonts w:eastAsia="Times New Roman" w:cstheme="minorHAnsi"/>
          <w:color w:val="000000" w:themeColor="text1"/>
          <w:spacing w:val="-2"/>
          <w:sz w:val="24"/>
          <w:szCs w:val="24"/>
        </w:rPr>
        <w:t>m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atter deli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v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ered by t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h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e Atchafalaya River to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sedi</w:t>
      </w:r>
      <w:r w:rsidRPr="008B088A">
        <w:rPr>
          <w:rFonts w:eastAsia="Times New Roman" w:cstheme="minorHAnsi"/>
          <w:color w:val="000000" w:themeColor="text1"/>
          <w:spacing w:val="-2"/>
          <w:sz w:val="24"/>
          <w:szCs w:val="24"/>
        </w:rPr>
        <w:t>m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ents in the northern Gulf of Mexico: </w:t>
      </w:r>
      <w:proofErr w:type="spellStart"/>
      <w:r w:rsidRPr="008B088A">
        <w:rPr>
          <w:rFonts w:eastAsia="Times New Roman" w:cstheme="minorHAnsi"/>
          <w:color w:val="000000" w:themeColor="text1"/>
          <w:sz w:val="24"/>
          <w:szCs w:val="24"/>
        </w:rPr>
        <w:t>Geochimica</w:t>
      </w:r>
      <w:proofErr w:type="spellEnd"/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 et </w:t>
      </w:r>
      <w:proofErr w:type="spellStart"/>
      <w:r w:rsidRPr="008B088A">
        <w:rPr>
          <w:rFonts w:eastAsia="Times New Roman" w:cstheme="minorHAnsi"/>
          <w:color w:val="000000" w:themeColor="text1"/>
          <w:sz w:val="24"/>
          <w:szCs w:val="24"/>
        </w:rPr>
        <w:t>Cosmochimica</w:t>
      </w:r>
      <w:proofErr w:type="spellEnd"/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 Acta, 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v.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67, 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p.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2359-2375.</w:t>
      </w:r>
    </w:p>
    <w:p w:rsidR="00927215" w:rsidRPr="008B088A" w:rsidRDefault="00927215" w:rsidP="00927215">
      <w:pPr>
        <w:spacing w:after="0" w:line="480" w:lineRule="auto"/>
        <w:ind w:left="440" w:right="407" w:hanging="450"/>
        <w:rPr>
          <w:rFonts w:eastAsia="Times New Roman" w:cstheme="minorHAnsi"/>
          <w:color w:val="000000" w:themeColor="text1"/>
          <w:sz w:val="24"/>
          <w:szCs w:val="24"/>
        </w:rPr>
      </w:pP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Gordon, E.S., and </w:t>
      </w:r>
      <w:proofErr w:type="spellStart"/>
      <w:r w:rsidRPr="008B088A">
        <w:rPr>
          <w:rFonts w:eastAsia="Times New Roman" w:cstheme="minorHAnsi"/>
          <w:color w:val="000000" w:themeColor="text1"/>
          <w:sz w:val="24"/>
          <w:szCs w:val="24"/>
        </w:rPr>
        <w:t>Goñi</w:t>
      </w:r>
      <w:proofErr w:type="spellEnd"/>
      <w:r w:rsidRPr="008B088A">
        <w:rPr>
          <w:rFonts w:eastAsia="Times New Roman" w:cstheme="minorHAnsi"/>
          <w:color w:val="000000" w:themeColor="text1"/>
          <w:sz w:val="24"/>
          <w:szCs w:val="24"/>
        </w:rPr>
        <w:t>, M.A. 2004, Controls on the distribution and accu</w:t>
      </w:r>
      <w:r w:rsidRPr="008B088A">
        <w:rPr>
          <w:rFonts w:eastAsia="Times New Roman" w:cstheme="minorHAnsi"/>
          <w:color w:val="000000" w:themeColor="text1"/>
          <w:spacing w:val="-2"/>
          <w:sz w:val="24"/>
          <w:szCs w:val="24"/>
        </w:rPr>
        <w:t>m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ulation of terrigenous organic </w:t>
      </w:r>
      <w:r w:rsidRPr="008B088A">
        <w:rPr>
          <w:rFonts w:eastAsia="Times New Roman" w:cstheme="minorHAnsi"/>
          <w:color w:val="000000" w:themeColor="text1"/>
          <w:spacing w:val="-2"/>
          <w:sz w:val="24"/>
          <w:szCs w:val="24"/>
        </w:rPr>
        <w:t>m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atter in sedi</w:t>
      </w:r>
      <w:r w:rsidRPr="008B088A">
        <w:rPr>
          <w:rFonts w:eastAsia="Times New Roman" w:cstheme="minorHAnsi"/>
          <w:color w:val="000000" w:themeColor="text1"/>
          <w:spacing w:val="-2"/>
          <w:sz w:val="24"/>
          <w:szCs w:val="24"/>
        </w:rPr>
        <w:t>m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ents from</w:t>
      </w:r>
      <w:r w:rsidRPr="008B088A">
        <w:rPr>
          <w:rFonts w:eastAsia="Times New Roman" w:cstheme="minorHAnsi"/>
          <w:color w:val="000000" w:themeColor="text1"/>
          <w:spacing w:val="-2"/>
          <w:sz w:val="24"/>
          <w:szCs w:val="24"/>
        </w:rPr>
        <w:t xml:space="preserve">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the Mississippi and Atchafalaya river </w:t>
      </w:r>
      <w:r w:rsidRPr="008B088A">
        <w:rPr>
          <w:rFonts w:eastAsia="Times New Roman" w:cstheme="minorHAnsi"/>
          <w:color w:val="000000" w:themeColor="text1"/>
          <w:spacing w:val="-2"/>
          <w:sz w:val="24"/>
          <w:szCs w:val="24"/>
        </w:rPr>
        <w:t>m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argin: Marine Chemistry, 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v.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92, 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p.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331-352.</w:t>
      </w:r>
    </w:p>
    <w:p w:rsidR="00927215" w:rsidRPr="008B088A" w:rsidRDefault="00927215" w:rsidP="00927215">
      <w:pPr>
        <w:spacing w:after="0" w:line="480" w:lineRule="auto"/>
        <w:ind w:left="440" w:right="435" w:hanging="450"/>
        <w:rPr>
          <w:rFonts w:eastAsia="Times New Roman" w:cstheme="minorHAnsi"/>
          <w:color w:val="000000" w:themeColor="text1"/>
          <w:sz w:val="24"/>
          <w:szCs w:val="24"/>
        </w:rPr>
      </w:pPr>
      <w:r w:rsidRPr="008B088A">
        <w:rPr>
          <w:rFonts w:eastAsia="Times New Roman" w:cstheme="minorHAnsi"/>
          <w:color w:val="000000" w:themeColor="text1"/>
          <w:sz w:val="24"/>
          <w:szCs w:val="24"/>
        </w:rPr>
        <w:lastRenderedPageBreak/>
        <w:t xml:space="preserve">Gordon, E.S., </w:t>
      </w:r>
      <w:proofErr w:type="spellStart"/>
      <w:r w:rsidRPr="008B088A">
        <w:rPr>
          <w:rFonts w:eastAsia="Times New Roman" w:cstheme="minorHAnsi"/>
          <w:color w:val="000000" w:themeColor="text1"/>
          <w:sz w:val="24"/>
          <w:szCs w:val="24"/>
        </w:rPr>
        <w:t>Goñi</w:t>
      </w:r>
      <w:proofErr w:type="spellEnd"/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, M.A., Roberts, Q.N., </w:t>
      </w:r>
      <w:proofErr w:type="spellStart"/>
      <w:r w:rsidRPr="008B088A">
        <w:rPr>
          <w:rFonts w:eastAsia="Times New Roman" w:cstheme="minorHAnsi"/>
          <w:color w:val="000000" w:themeColor="text1"/>
          <w:sz w:val="24"/>
          <w:szCs w:val="24"/>
        </w:rPr>
        <w:t>Kineke</w:t>
      </w:r>
      <w:proofErr w:type="spellEnd"/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, G.C., and Allison, M.A. 2001, Organic </w:t>
      </w:r>
      <w:r w:rsidRPr="008B088A">
        <w:rPr>
          <w:rFonts w:eastAsia="Times New Roman" w:cstheme="minorHAnsi"/>
          <w:color w:val="000000" w:themeColor="text1"/>
          <w:spacing w:val="-2"/>
          <w:sz w:val="24"/>
          <w:szCs w:val="24"/>
        </w:rPr>
        <w:t>m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atter 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d</w:t>
      </w:r>
      <w:r w:rsidRPr="008B088A">
        <w:rPr>
          <w:rFonts w:eastAsia="Times New Roman" w:cstheme="minorHAnsi"/>
          <w:color w:val="000000" w:themeColor="text1"/>
          <w:spacing w:val="1"/>
          <w:sz w:val="24"/>
          <w:szCs w:val="24"/>
        </w:rPr>
        <w:t>i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stribution and acc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u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mulation on</w:t>
      </w:r>
      <w:r w:rsidRPr="008B088A">
        <w:rPr>
          <w:rFonts w:eastAsia="Times New Roman" w:cstheme="minorHAnsi"/>
          <w:color w:val="000000" w:themeColor="text1"/>
          <w:spacing w:val="-2"/>
          <w:sz w:val="24"/>
          <w:szCs w:val="24"/>
        </w:rPr>
        <w:t xml:space="preserve">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the inner L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o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uisia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n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a shelf</w:t>
      </w:r>
      <w:r w:rsidRPr="008B088A">
        <w:rPr>
          <w:rFonts w:eastAsia="Times New Roman" w:cstheme="minorHAnsi"/>
          <w:color w:val="000000" w:themeColor="text1"/>
          <w:spacing w:val="-2"/>
          <w:sz w:val="24"/>
          <w:szCs w:val="24"/>
        </w:rPr>
        <w:t xml:space="preserve">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west of the Atchafalaya river to se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>di</w:t>
      </w:r>
      <w:r w:rsidRPr="008B088A">
        <w:rPr>
          <w:rFonts w:eastAsia="Times New Roman" w:cstheme="minorHAnsi"/>
          <w:color w:val="000000" w:themeColor="text1"/>
          <w:spacing w:val="-2"/>
          <w:sz w:val="24"/>
          <w:szCs w:val="24"/>
        </w:rPr>
        <w:t>m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ents</w:t>
      </w:r>
      <w:r w:rsidRPr="008B088A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in the northern gulf of Mexico: Continental Shelf Research, 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v.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 xml:space="preserve">21, 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p. </w:t>
      </w:r>
      <w:r w:rsidRPr="008B088A">
        <w:rPr>
          <w:rFonts w:eastAsia="Times New Roman" w:cstheme="minorHAnsi"/>
          <w:color w:val="000000" w:themeColor="text1"/>
          <w:sz w:val="24"/>
          <w:szCs w:val="24"/>
        </w:rPr>
        <w:t>1691-1721.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Hackworth, M.S. 2005, Carbonate Records of Submarine Hydrocarbon Venting: Northern Gulf of Mexico: Ph. D. Dissertation, Graduate Faculty of the Louisiana State University and Agricultural and Mechanical College, </w:t>
      </w:r>
      <w:r w:rsidR="0012604F">
        <w:rPr>
          <w:rFonts w:cstheme="minorHAnsi"/>
          <w:color w:val="000000" w:themeColor="text1"/>
          <w:sz w:val="24"/>
          <w:szCs w:val="24"/>
        </w:rPr>
        <w:t xml:space="preserve">Louisiana, USA, </w:t>
      </w:r>
      <w:r w:rsidRPr="008B088A">
        <w:rPr>
          <w:rFonts w:cstheme="minorHAnsi"/>
          <w:color w:val="000000" w:themeColor="text1"/>
          <w:sz w:val="24"/>
          <w:szCs w:val="24"/>
        </w:rPr>
        <w:t>May 2005, 315 pp.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Ingram, W.C. 2013, Late Quaternary Depositional History, Sedimentary Geochemistry, and Organic Carbon Burial at Mississippi Canyon 118: A Deep-sea Site on the Northern Gulf of Mexico Slope Containing a Gas-Hydrate and Cold-Seep Field: Doctor of Philosophy Thesis, Department of Marine Sciences, University of North Carolina at Chapel Hill, </w:t>
      </w:r>
      <w:r w:rsidR="0012604F">
        <w:rPr>
          <w:rFonts w:cstheme="minorHAnsi"/>
          <w:color w:val="000000" w:themeColor="text1"/>
          <w:sz w:val="24"/>
          <w:szCs w:val="24"/>
        </w:rPr>
        <w:t xml:space="preserve">North Carolina, USA, 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202 pp. 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>Ingram, W.C., Meyers, S.R., Brunner, C.A., and Martens, C.S. 2010, Late Pleistocene–Holocene sedimentation surrounding an active seaﬂoor gas-hydrate and cold-seep ﬁeld on the Northern Gulf of Mexico Slope: Marine Geology, v. 278, p. 43–53.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Jaramillo, S.,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Sheremet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A., Allison, M.A., Reed, A.H., and Holland, K.T. 2009, Wave-mud interactions over the muddy Atchafalaya subaqueous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clinoform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Louisiana, United States: Wave-supported sediment transport: Journal of Geophysical Research, v. 114, p. C04002,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doi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: 10.1029/2008JC004821.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>Jarvis, J.C. 2010, Vertical Accretion Rates in Coastal Louisiana: A Review of the Scientific Literature: United States Army Engineer Research and Development Center</w:t>
      </w:r>
      <w:r w:rsidR="0012604F">
        <w:rPr>
          <w:rFonts w:cstheme="minorHAnsi"/>
          <w:color w:val="000000" w:themeColor="text1"/>
          <w:sz w:val="24"/>
          <w:szCs w:val="24"/>
        </w:rPr>
        <w:t xml:space="preserve"> report </w:t>
      </w:r>
      <w:r w:rsidR="0012604F" w:rsidRPr="0012604F">
        <w:rPr>
          <w:rFonts w:cstheme="minorHAnsi"/>
          <w:color w:val="000000" w:themeColor="text1"/>
          <w:sz w:val="24"/>
          <w:szCs w:val="24"/>
        </w:rPr>
        <w:t>ERDC/ELTN-10-5</w:t>
      </w:r>
      <w:r w:rsidR="0012604F">
        <w:rPr>
          <w:rFonts w:cstheme="minorHAnsi"/>
          <w:color w:val="000000" w:themeColor="text1"/>
          <w:sz w:val="24"/>
          <w:szCs w:val="24"/>
        </w:rPr>
        <w:t>,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 Vicksburg, </w:t>
      </w:r>
      <w:r>
        <w:rPr>
          <w:rFonts w:cstheme="minorHAnsi"/>
          <w:color w:val="000000" w:themeColor="text1"/>
          <w:sz w:val="24"/>
          <w:szCs w:val="24"/>
        </w:rPr>
        <w:t>Mississippi</w:t>
      </w:r>
      <w:r w:rsidRPr="008B088A">
        <w:rPr>
          <w:rFonts w:cstheme="minorHAnsi"/>
          <w:color w:val="000000" w:themeColor="text1"/>
          <w:sz w:val="24"/>
          <w:szCs w:val="24"/>
        </w:rPr>
        <w:t>, USA, 15 pp.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lastRenderedPageBreak/>
        <w:t xml:space="preserve">Keller, G., Bentley, S.J., Georgiou, I.Y., Maloney, J., Miner, M.D., and Xu, K. 2016, River-plume sedimentation and </w:t>
      </w:r>
      <w:r w:rsidRPr="008B088A">
        <w:rPr>
          <w:rFonts w:cstheme="minorHAnsi"/>
          <w:color w:val="000000" w:themeColor="text1"/>
          <w:sz w:val="24"/>
          <w:szCs w:val="24"/>
          <w:vertAlign w:val="superscript"/>
        </w:rPr>
        <w:t>210</w:t>
      </w:r>
      <w:r w:rsidRPr="008B088A">
        <w:rPr>
          <w:rFonts w:cstheme="minorHAnsi"/>
          <w:color w:val="000000" w:themeColor="text1"/>
          <w:sz w:val="24"/>
          <w:szCs w:val="24"/>
        </w:rPr>
        <w:t>Pb/</w:t>
      </w:r>
      <w:r w:rsidRPr="008B088A">
        <w:rPr>
          <w:rFonts w:cstheme="minorHAnsi"/>
          <w:color w:val="000000" w:themeColor="text1"/>
          <w:sz w:val="24"/>
          <w:szCs w:val="24"/>
          <w:vertAlign w:val="superscript"/>
        </w:rPr>
        <w:t>7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Be seabed delivery on the Mississippi River delta front: Geo-Marine Letters,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doi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: 10.1007/s00367-016-0476-0.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Kolker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A.S., Allison, M.A., and Marcantonio, F. 2010, Spatial and Temporal Variability in Sediment Accumulation Rates in Barataria Bay and the Development of a Regional Subsidence Map: Coastal Restoration and Enhancement through Science and Technology (CREST) Final Technical Report, 10 pp. Louisiana State University, </w:t>
      </w:r>
      <w:r>
        <w:rPr>
          <w:rFonts w:cstheme="minorHAnsi"/>
          <w:color w:val="000000" w:themeColor="text1"/>
          <w:sz w:val="24"/>
          <w:szCs w:val="24"/>
        </w:rPr>
        <w:t>Louisiana, USA</w:t>
      </w:r>
      <w:r w:rsidRPr="008B088A">
        <w:rPr>
          <w:rFonts w:cstheme="minorHAnsi"/>
          <w:color w:val="000000" w:themeColor="text1"/>
          <w:sz w:val="24"/>
          <w:szCs w:val="24"/>
        </w:rPr>
        <w:t>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Kolker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A.S., Miner, M.D., and Weathers, H.D. 2012, Depositional dynamics in a river diversion receiving basin. The case of the West Bay Mississippi River Diversion: Estuarine, Coastal and Shelf Science, v. 106, p. 1-12.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Mitra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S.,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Lalicata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J.J., Allison, M.A., and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Dellapenna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T.M. 2009, The effects of Hurricanes Katrina and Rita on seabed polycyclic aromatic hydrocarbon dynamics in the Gulf of Mexico: Marine Pollution Bulletin, v. 58, p. 851–857.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>Morse, J.W., and Rowe, G.T. 1999, Benthic Biogeochemistry beneath the Mississippi River Plume: Estuaries, v. 22(2A), p. 206-214.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>Neill, C.F., and Allison, M.A. 2005, Subaqueous deltaic formation on the Atchafalaya Shelf, Louisiana: Marine Geology, v. 214,</w:t>
      </w:r>
      <w:r>
        <w:rPr>
          <w:rFonts w:cstheme="minorHAnsi"/>
          <w:color w:val="000000" w:themeColor="text1"/>
          <w:sz w:val="24"/>
          <w:szCs w:val="24"/>
        </w:rPr>
        <w:t xml:space="preserve"> p.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 411– 430. 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Oktay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S.D.,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Santschi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P.H., Moran, J.E., and Sharma, P. 2000, The </w:t>
      </w:r>
      <w:r w:rsidRPr="008B088A">
        <w:rPr>
          <w:rFonts w:cstheme="minorHAnsi"/>
          <w:color w:val="000000" w:themeColor="text1"/>
          <w:sz w:val="24"/>
          <w:szCs w:val="24"/>
          <w:vertAlign w:val="superscript"/>
        </w:rPr>
        <w:t>129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Iodine bomb pulse recorded in Mississippi River Delta sediments: Results from isotopes of I, Pu, Cs,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Pb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and C: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Geochimica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 et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Cosmochimica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 Acta, v. 64(6), p. 989–996.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lastRenderedPageBreak/>
        <w:t xml:space="preserve">Osterman, L.E.,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Swarzenski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P.W., and Hollander, D. 2006, Biological, Physical, and Chemical Data from Gulf of Mexico Core PE0305-GC1: U.S. Geological Survey, U.S. Department of the Interior, Open-File Report 2006-1012, 28 pp.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Osterman, L.E., Campbell, P.L.,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Swarzenski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P.W., and Ricardo, J.P. 2007, Biological, Physical and Chemical Data From Gulf of Mexico Gravity and Box Core MRD05-04: U.S. Geological Survey, U.S. Department of the Interior, Open-File Report 2007-1024, 19 pp.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Osterman, L.E.,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Poore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R.Z., and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Swarzenski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P.W. 2008, The last 1000 years of natural and anthropogenic low-oxygen bottom-water on the Louisiana shelf, Gulf of Mexico: Marine Micropaleontology, v. 66, p. 291–303.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Osterman, L.E.,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Poore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R.Z.,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Swarzenski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P.W., and Turner, R.E. 2005, Reconstructing a 180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yr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 record of natural and anthropogenic induced low-oxygen conditions from Louisiana continental shelf sediments: Geology, v. 33(4), p. 329–332;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doi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: 10.1130/G213. 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Presley, B.J.,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Trefry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J.H., and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Shokes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R.F. 1980, Heavy Metal Inputs to Mississippi Delta Sediments: A Historical View: Water, Air, and Soil Pollution, v. 13, p. 481--494. 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Romero, I.C., Schwing, P.T., Brooks, G.R., Larson, R.A., Hastings, D.W., Ellis, G., Goddard, E.A., and Hollander, D.J. 2015, Hydrocarbons in Deep-Sea Sediments following the 2010 Deepwater Horizon Blowout in the Northeast Gulf of Mexico: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PLoS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 ONE 10(5), p. e0128371.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doi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: 10.1371/journal.pone.0128371. 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Rotondo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K.A., and Bentley, S.J. 2003, Deposition and Resuspension of Fluid Mud on the Western Louisiana Inner Shelf: Gulf Coast Association of Geological Societies and the Gulf Coast Section of Society of Economic Paleontologists and Mineralogists (GCAGS/GCSSEPM) Transactions, v. 53, p. 722-731.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lastRenderedPageBreak/>
        <w:t xml:space="preserve">Rowe, G.T., and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Kennicutt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 II, M.C., eds., 2009, Northern Gulf of Mexico continental slope habitats and benthic ecology study: Final report. U.S. Dept. of the Interior, Minerals Management. Service, Gulf of Mexico OCS Region, New Orleans, LA. OCS Study MMS 2009-039, 456 pp.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Sampere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T.P., Bianchi, T.S., and Allison, M.A. 2011, Historical changes in terrestrially derived organic carbon inputs to Louisiana continental margin sediments over the past 150 years: Journal of Geophysical Research, v. 116, p. G01016,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doi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: 10.1029/2010JG001420.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Santschi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P.H., and Rowe, G.T. 2008, Radiocarbon-derived sedimentation rates in the Gulf of Mexico: Deep-Sea Research II, v. 55, p. 2572–2576.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Schlager, W., Marsal, D., van der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Geest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P. A. G., and Sprenger, A. 1998, Sedimentation Rates, Observation Span, and the Problem of Spurious Correlation: Mathematical Geology, v. 30(5), p. 547-556.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Shokes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R.F. 1976, Rate-dependent distributions of lead-210 and interstitial sulfate in sediments of the Mississippi River Delta: Technical Report 76-1-T, Department of Oceanography, Texas A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8B088A">
        <w:rPr>
          <w:rFonts w:cstheme="minorHAnsi"/>
          <w:color w:val="000000" w:themeColor="text1"/>
          <w:sz w:val="24"/>
          <w:szCs w:val="24"/>
        </w:rPr>
        <w:t>and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8B088A">
        <w:rPr>
          <w:rFonts w:cstheme="minorHAnsi"/>
          <w:color w:val="000000" w:themeColor="text1"/>
          <w:sz w:val="24"/>
          <w:szCs w:val="24"/>
        </w:rPr>
        <w:t>M University, 122 pp.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>Smith, R.P. 2009, Historic Sediment Accretion Rates in a Louisiana Coastal Marsh and Implications for Sustainability: Master of Science Thesis, Louisiana State University and Agricultural and Mechanical College, May 2009, 69 pp.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Swarzenski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P.W., Baskaran, M., Rosenbauer, R.J., and Orem, W.H. 2006, Historical Trace Element Distribution in Sediments from the Mississippi River Delta: Estuaries and Coasts, v. 29(6B), p. 1094–1107.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lastRenderedPageBreak/>
        <w:t>Swarzenski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P.W., Campbell, P.L., Osterman, L.E., and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Poore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R.Z. 2008, A 1000-year sediment record of recurring hypoxia off the Mississippi River: The potential role of terrestrially-derived organic matter inputs: Marine Chemistry, v. 109, p. 130–142.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Tichenor, H.R., Culver, S.J., Corbett, D.R., Walsh, J.P., and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Buzas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M.A. 2016, Does the PEB Index Respond only to Hypoxia in the Mississippi Delta, Gulf of Mexico ?: Journal of Foraminiferal Research, v. 46(1), p. 48–60.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Trefry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 III, J.H. 1977, The Transport of Heavy Metals by the Mississippi River and their Fate in the Gulf Of Mexico: Ph.D. Dissertation, Graduate College of Texas Agriculture and Mechanical (A &amp; M) University, May 1977, 223 p.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Trefry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, J.H., Nelsen, T.A.,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Trocine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R.P., Metz, S., and Vetter, T.W. 1986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 Trace metal fluxes through the Mississippi River Delta system: Rapports et procès-verbaux des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réunions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 - Conseil permanent international pour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l'exploration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 xml:space="preserve"> de la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mer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v. 186, p. 277-288.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Turner, R.E., Overton, E.B.,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Rabalais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N.N., and Sen Gupta, B.K., eds., 2003, Historical reconstruction of the contaminant loading and biological responses in the Central Gulf of Mexico shelf sediments: U.S. Dept. of the Interior, Minerals Management Service, Gulf of Mexico Offshore Continental Shelf (OCS) Region, New Orleans, LA. Offshore Continental Shelf (OCS) Study MMS 2003-063, 140 pp.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Velardo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B. 2005, Detailed Geochronology of the Mississippi Sound During the Late Holocene: Master of Science Thesis, Department of Oceanography and Coastal Sciences, Louisiana State University and Agricultural and Mechanical College, 95 pp.</w:t>
      </w:r>
    </w:p>
    <w:p w:rsidR="00927215" w:rsidRPr="008B088A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lastRenderedPageBreak/>
        <w:t>Waterson, E.J. 2005, Sources of Sedimentary Organic Matter in the Mississippi River and Adjacent Gulf of Mexico: Degree of Masters of Science Thesis, Faculty of the School of Marine Science, College of William and Mary in Virginia, 109 pp.</w:t>
      </w:r>
    </w:p>
    <w:p w:rsidR="00927215" w:rsidRPr="00927215" w:rsidRDefault="00927215" w:rsidP="00927215">
      <w:pPr>
        <w:spacing w:after="0" w:line="480" w:lineRule="auto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8B088A">
        <w:rPr>
          <w:rFonts w:cstheme="minorHAnsi"/>
          <w:color w:val="000000" w:themeColor="text1"/>
          <w:sz w:val="24"/>
          <w:szCs w:val="24"/>
        </w:rPr>
        <w:t xml:space="preserve">Yeager, K.M., </w:t>
      </w:r>
      <w:proofErr w:type="spellStart"/>
      <w:r w:rsidRPr="008B088A">
        <w:rPr>
          <w:rFonts w:cstheme="minorHAnsi"/>
          <w:color w:val="000000" w:themeColor="text1"/>
          <w:sz w:val="24"/>
          <w:szCs w:val="24"/>
        </w:rPr>
        <w:t>Santschi</w:t>
      </w:r>
      <w:proofErr w:type="spellEnd"/>
      <w:r w:rsidRPr="008B088A">
        <w:rPr>
          <w:rFonts w:cstheme="minorHAnsi"/>
          <w:color w:val="000000" w:themeColor="text1"/>
          <w:sz w:val="24"/>
          <w:szCs w:val="24"/>
        </w:rPr>
        <w:t>, P.H., and Rowe, G.T. 2004, Sediment accumulation and radionuclide inventories (</w:t>
      </w:r>
      <w:r w:rsidRPr="008B088A">
        <w:rPr>
          <w:rFonts w:cstheme="minorHAnsi"/>
          <w:color w:val="000000" w:themeColor="text1"/>
          <w:sz w:val="24"/>
          <w:szCs w:val="24"/>
          <w:vertAlign w:val="superscript"/>
        </w:rPr>
        <w:t>239,240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Pu, </w:t>
      </w:r>
      <w:r w:rsidRPr="008B088A">
        <w:rPr>
          <w:rFonts w:cstheme="minorHAnsi"/>
          <w:color w:val="000000" w:themeColor="text1"/>
          <w:sz w:val="24"/>
          <w:szCs w:val="24"/>
          <w:vertAlign w:val="superscript"/>
        </w:rPr>
        <w:t>210</w:t>
      </w:r>
      <w:r w:rsidRPr="008B088A">
        <w:rPr>
          <w:rFonts w:cstheme="minorHAnsi"/>
          <w:color w:val="000000" w:themeColor="text1"/>
          <w:sz w:val="24"/>
          <w:szCs w:val="24"/>
        </w:rPr>
        <w:t xml:space="preserve">Pb and </w:t>
      </w:r>
      <w:r w:rsidRPr="008B088A">
        <w:rPr>
          <w:rFonts w:cstheme="minorHAnsi"/>
          <w:color w:val="000000" w:themeColor="text1"/>
          <w:sz w:val="24"/>
          <w:szCs w:val="24"/>
          <w:vertAlign w:val="superscript"/>
        </w:rPr>
        <w:t>234</w:t>
      </w:r>
      <w:r w:rsidRPr="008B088A">
        <w:rPr>
          <w:rFonts w:cstheme="minorHAnsi"/>
          <w:color w:val="000000" w:themeColor="text1"/>
          <w:sz w:val="24"/>
          <w:szCs w:val="24"/>
        </w:rPr>
        <w:t>Th) in the northern Gulf of Mexico, as influenced by organic matter and macrofaunal density: Marine Chemistry, v. 91, p. 1–14.</w:t>
      </w:r>
      <w:r w:rsidRPr="00D330E8">
        <w:rPr>
          <w:rFonts w:cstheme="minorHAnsi"/>
          <w:color w:val="000000" w:themeColor="text1"/>
          <w:sz w:val="24"/>
          <w:szCs w:val="24"/>
        </w:rPr>
        <w:t xml:space="preserve"> </w:t>
      </w:r>
    </w:p>
    <w:sectPr w:rsidR="00927215" w:rsidRPr="00927215" w:rsidSect="0003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215"/>
    <w:rsid w:val="00027DBB"/>
    <w:rsid w:val="00032CD2"/>
    <w:rsid w:val="000762C7"/>
    <w:rsid w:val="0012604F"/>
    <w:rsid w:val="0013215B"/>
    <w:rsid w:val="00283DDC"/>
    <w:rsid w:val="00311D5F"/>
    <w:rsid w:val="005E4EF4"/>
    <w:rsid w:val="00721348"/>
    <w:rsid w:val="008E5E2B"/>
    <w:rsid w:val="00927215"/>
    <w:rsid w:val="00A35A76"/>
    <w:rsid w:val="00C14A22"/>
    <w:rsid w:val="00DC52D4"/>
    <w:rsid w:val="00E12967"/>
    <w:rsid w:val="00EF6C9F"/>
    <w:rsid w:val="00FB694D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716C9-894D-4ACC-A0CE-93E6358C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2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E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dc.noaa.gov/archive/arc0031/0069470/1.1/data/0-data/Executive%20Summary%20Volume.pdf" TargetMode="External"/><Relationship Id="rId5" Type="http://schemas.openxmlformats.org/officeDocument/2006/relationships/hyperlink" Target="http://aquila.usm.edu/masters_theses/19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jenkins</dc:creator>
  <cp:keywords/>
  <dc:description/>
  <cp:lastModifiedBy>Coco Lemon Pie</cp:lastModifiedBy>
  <cp:revision>2</cp:revision>
  <cp:lastPrinted>2018-01-22T03:03:00Z</cp:lastPrinted>
  <dcterms:created xsi:type="dcterms:W3CDTF">2018-03-02T21:30:00Z</dcterms:created>
  <dcterms:modified xsi:type="dcterms:W3CDTF">2018-03-02T21:30:00Z</dcterms:modified>
</cp:coreProperties>
</file>